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application/octet-stream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8C2" w:rsidRPr="002E1F5C" w:rsidRDefault="00227FF0">
      <w:pPr>
        <w:spacing w:after="220" w:line="288" w:lineRule="auto"/>
        <w:jc w:val="center"/>
        <w:rPr>
          <w:rFonts w:asciiTheme="majorBidi" w:hAnsiTheme="majorBidi" w:cstheme="majorBidi"/>
          <w:sz w:val="32"/>
          <w:szCs w:val="32"/>
        </w:rPr>
      </w:pPr>
      <w:bookmarkStart w:id="0" w:name="your_paper_title_goes_here"/>
      <w:r w:rsidRPr="002E1F5C">
        <w:rPr>
          <w:rFonts w:asciiTheme="majorBidi" w:hAnsiTheme="majorBidi" w:cstheme="majorBidi"/>
          <w:b/>
          <w:sz w:val="32"/>
          <w:szCs w:val="32"/>
        </w:rPr>
        <w:t>Your Paper Title Goes Here</w:t>
      </w:r>
      <w:bookmarkEnd w:id="0"/>
    </w:p>
    <w:p w:rsidR="00D068C2" w:rsidRPr="002E1F5C" w:rsidRDefault="00227FF0" w:rsidP="002E1F5C">
      <w:pPr>
        <w:jc w:val="center"/>
        <w:rPr>
          <w:rFonts w:asciiTheme="majorBidi" w:hAnsiTheme="majorBidi" w:cstheme="majorBidi"/>
          <w:sz w:val="24"/>
          <w:szCs w:val="24"/>
        </w:rPr>
      </w:pPr>
      <w:r w:rsidRPr="002E1F5C">
        <w:rPr>
          <w:rFonts w:asciiTheme="majorBidi" w:hAnsiTheme="majorBidi" w:cstheme="majorBidi"/>
          <w:sz w:val="24"/>
          <w:szCs w:val="24"/>
        </w:rPr>
        <w:t xml:space="preserve">First </w:t>
      </w:r>
      <w:proofErr w:type="gramStart"/>
      <w:r w:rsidRPr="002E1F5C">
        <w:rPr>
          <w:rFonts w:asciiTheme="majorBidi" w:hAnsiTheme="majorBidi" w:cstheme="majorBidi"/>
          <w:sz w:val="24"/>
          <w:szCs w:val="24"/>
        </w:rPr>
        <w:t xml:space="preserve">Author </w:t>
      </w:r>
      <w:proofErr w:type="gramEnd"/>
      <m:oMath>
        <m:sSup>
          <m:sSupPr>
            <m:ctrlPr>
              <w:rPr>
                <w:rFonts w:ascii="Cambria Math" w:hAnsi="Cambria Math" w:cstheme="majorBidi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 xml:space="preserve"> 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</w:rPr>
              <m:t>1</m:t>
            </m:r>
          </m:sup>
        </m:sSup>
      </m:oMath>
      <w:r w:rsidRPr="002E1F5C">
        <w:rPr>
          <w:rFonts w:asciiTheme="majorBidi" w:hAnsiTheme="majorBidi" w:cstheme="majorBidi"/>
          <w:sz w:val="24"/>
          <w:szCs w:val="24"/>
        </w:rPr>
        <w:t xml:space="preserve">, Second Author </w:t>
      </w:r>
      <m:oMath>
        <m:sSup>
          <m:sSupPr>
            <m:ctrlPr>
              <w:rPr>
                <w:rFonts w:ascii="Cambria Math" w:hAnsi="Cambria Math" w:cstheme="majorBidi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 xml:space="preserve"> 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</w:rPr>
              <m:t>2</m:t>
            </m:r>
          </m:sup>
        </m:sSup>
      </m:oMath>
      <w:r w:rsidRPr="002E1F5C">
        <w:rPr>
          <w:rFonts w:asciiTheme="majorBidi" w:hAnsiTheme="majorBidi" w:cstheme="majorBidi"/>
          <w:sz w:val="24"/>
          <w:szCs w:val="24"/>
        </w:rPr>
        <w:t xml:space="preserve">, Third Author </w:t>
      </w:r>
      <m:oMath>
        <m:sSup>
          <m:sSupPr>
            <m:ctrlPr>
              <w:rPr>
                <w:rFonts w:ascii="Cambria Math" w:hAnsi="Cambria Math" w:cstheme="majorBidi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 xml:space="preserve"> 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</w:rPr>
              <m:t>1,2</m:t>
            </m:r>
          </m:sup>
        </m:sSup>
      </m:oMath>
    </w:p>
    <w:p w:rsidR="00D068C2" w:rsidRPr="002E1F5C" w:rsidRDefault="00227FF0" w:rsidP="002E1F5C">
      <w:pPr>
        <w:jc w:val="center"/>
        <w:rPr>
          <w:rFonts w:asciiTheme="majorBidi" w:hAnsiTheme="majorBidi" w:cstheme="majorBidi"/>
          <w:sz w:val="24"/>
          <w:szCs w:val="24"/>
        </w:rPr>
      </w:pPr>
      <m:oMath>
        <m:sSup>
          <m:sSupPr>
            <m:ctrlPr>
              <w:rPr>
                <w:rFonts w:ascii="Cambria Math" w:hAnsi="Cambria Math" w:cstheme="majorBidi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 xml:space="preserve"> 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</w:rPr>
              <m:t>1</m:t>
            </m:r>
          </m:sup>
        </m:sSup>
      </m:oMath>
      <w:r w:rsidRPr="002E1F5C">
        <w:rPr>
          <w:rFonts w:asciiTheme="majorBidi" w:hAnsiTheme="majorBidi" w:cstheme="majorBidi"/>
          <w:sz w:val="24"/>
          <w:szCs w:val="24"/>
        </w:rPr>
        <w:t xml:space="preserve"> Department of Biomedical Engineering, University Name, City, Country</w:t>
      </w:r>
    </w:p>
    <w:p w:rsidR="00D068C2" w:rsidRPr="002E1F5C" w:rsidRDefault="00227FF0" w:rsidP="002E1F5C">
      <w:pPr>
        <w:jc w:val="center"/>
        <w:rPr>
          <w:rFonts w:asciiTheme="majorBidi" w:hAnsiTheme="majorBidi" w:cstheme="majorBidi"/>
          <w:sz w:val="24"/>
          <w:szCs w:val="24"/>
        </w:rPr>
      </w:pPr>
      <m:oMath>
        <m:sSup>
          <m:sSupPr>
            <m:ctrlPr>
              <w:rPr>
                <w:rFonts w:ascii="Cambria Math" w:hAnsi="Cambria Math" w:cstheme="majorBidi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 xml:space="preserve"> 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</w:rPr>
              <m:t>2</m:t>
            </m:r>
          </m:sup>
        </m:sSup>
      </m:oMath>
      <w:r w:rsidRPr="002E1F5C">
        <w:rPr>
          <w:rFonts w:asciiTheme="majorBidi" w:hAnsiTheme="majorBidi" w:cstheme="majorBidi"/>
          <w:sz w:val="24"/>
          <w:szCs w:val="24"/>
        </w:rPr>
        <w:t xml:space="preserve"> Research Institute or Laboratory, Organization, City, Country</w:t>
      </w:r>
    </w:p>
    <w:p w:rsidR="00D068C2" w:rsidRPr="002E1F5C" w:rsidRDefault="00227FF0" w:rsidP="002E1F5C">
      <w:pPr>
        <w:jc w:val="center"/>
        <w:rPr>
          <w:rFonts w:asciiTheme="majorBidi" w:hAnsiTheme="majorBidi" w:cstheme="majorBidi"/>
          <w:sz w:val="24"/>
          <w:szCs w:val="24"/>
        </w:rPr>
      </w:pPr>
      <w:r w:rsidRPr="002E1F5C">
        <w:rPr>
          <w:rFonts w:asciiTheme="majorBidi" w:hAnsiTheme="majorBidi" w:cstheme="majorBidi"/>
          <w:sz w:val="24"/>
          <w:szCs w:val="24"/>
        </w:rPr>
        <w:t>Corresponding author: email@domain.com</w:t>
      </w:r>
    </w:p>
    <w:p w:rsidR="00D068C2" w:rsidRPr="002E1F5C" w:rsidRDefault="00227FF0" w:rsidP="002E1F5C">
      <w:pPr>
        <w:spacing w:before="240" w:after="271" w:line="271" w:lineRule="auto"/>
        <w:rPr>
          <w:rFonts w:asciiTheme="majorBidi" w:hAnsiTheme="majorBidi" w:cstheme="majorBidi"/>
        </w:rPr>
      </w:pPr>
      <w:r w:rsidRPr="002E1F5C">
        <w:rPr>
          <w:rFonts w:asciiTheme="majorBidi" w:hAnsiTheme="majorBidi" w:cstheme="majorBidi"/>
          <w:b/>
          <w:sz w:val="28"/>
        </w:rPr>
        <w:t>Abstract</w:t>
      </w:r>
    </w:p>
    <w:p w:rsidR="00D068C2" w:rsidRPr="002E1F5C" w:rsidRDefault="00227FF0" w:rsidP="00227FF0">
      <w:pPr>
        <w:spacing w:after="220"/>
        <w:ind w:right="864"/>
        <w:jc w:val="both"/>
        <w:rPr>
          <w:rFonts w:asciiTheme="majorBidi" w:hAnsiTheme="majorBidi" w:cstheme="majorBidi"/>
        </w:rPr>
      </w:pPr>
      <w:r w:rsidRPr="002E1F5C">
        <w:rPr>
          <w:rFonts w:asciiTheme="majorBidi" w:hAnsiTheme="majorBidi" w:cstheme="majorBidi"/>
          <w:sz w:val="20"/>
        </w:rPr>
        <w:t>Briefly describe the purpose of the study, methodology, principal results, and conclusions. The abstract should contain approximately 150-250 wor</w:t>
      </w:r>
      <w:r w:rsidRPr="002E1F5C">
        <w:rPr>
          <w:rFonts w:asciiTheme="majorBidi" w:hAnsiTheme="majorBidi" w:cstheme="majorBidi"/>
          <w:sz w:val="20"/>
        </w:rPr>
        <w:t>ds.</w:t>
      </w:r>
    </w:p>
    <w:p w:rsidR="00D068C2" w:rsidRPr="002E1F5C" w:rsidRDefault="00227FF0">
      <w:pPr>
        <w:spacing w:after="220"/>
        <w:rPr>
          <w:rFonts w:asciiTheme="majorBidi" w:hAnsiTheme="majorBidi" w:cstheme="majorBidi"/>
        </w:rPr>
      </w:pPr>
      <w:r w:rsidRPr="002E1F5C">
        <w:rPr>
          <w:rFonts w:asciiTheme="majorBidi" w:hAnsiTheme="majorBidi" w:cstheme="majorBidi"/>
          <w:b/>
          <w:bCs/>
        </w:rPr>
        <w:t>Keywords</w:t>
      </w:r>
      <w:r w:rsidRPr="002E1F5C">
        <w:rPr>
          <w:rFonts w:asciiTheme="majorBidi" w:hAnsiTheme="majorBidi" w:cstheme="majorBidi"/>
        </w:rPr>
        <w:t>: Biomedical engineering; Signal processing; Medical imaging; Artificial intelligence.</w:t>
      </w:r>
    </w:p>
    <w:p w:rsidR="00D068C2" w:rsidRPr="002E1F5C" w:rsidRDefault="00227FF0">
      <w:pPr>
        <w:spacing w:before="330" w:line="271" w:lineRule="auto"/>
        <w:rPr>
          <w:rFonts w:asciiTheme="majorBidi" w:hAnsiTheme="majorBidi" w:cstheme="majorBidi"/>
          <w:sz w:val="28"/>
          <w:szCs w:val="28"/>
        </w:rPr>
      </w:pPr>
      <w:bookmarkStart w:id="1" w:name="bm_1_introduction"/>
      <w:r w:rsidRPr="002E1F5C">
        <w:rPr>
          <w:rFonts w:asciiTheme="majorBidi" w:hAnsiTheme="majorBidi" w:cstheme="majorBidi"/>
          <w:b/>
          <w:sz w:val="28"/>
          <w:szCs w:val="28"/>
        </w:rPr>
        <w:t>1 Introduction</w:t>
      </w:r>
      <w:bookmarkEnd w:id="1"/>
    </w:p>
    <w:p w:rsidR="00D068C2" w:rsidRPr="002E1F5C" w:rsidRDefault="00227FF0" w:rsidP="00227FF0">
      <w:pPr>
        <w:spacing w:line="240" w:lineRule="auto"/>
        <w:jc w:val="both"/>
        <w:rPr>
          <w:rFonts w:asciiTheme="majorBidi" w:hAnsiTheme="majorBidi" w:cstheme="majorBidi"/>
        </w:rPr>
      </w:pPr>
      <w:r w:rsidRPr="002E1F5C">
        <w:rPr>
          <w:rFonts w:asciiTheme="majorBidi" w:hAnsiTheme="majorBidi" w:cstheme="majorBidi"/>
        </w:rPr>
        <w:t>Biomedical engineering has experienced remarkable advances in recent years [1]. Machine learning and medical imaging are increasingly used for</w:t>
      </w:r>
      <w:r w:rsidRPr="002E1F5C">
        <w:rPr>
          <w:rFonts w:asciiTheme="majorBidi" w:hAnsiTheme="majorBidi" w:cstheme="majorBidi"/>
        </w:rPr>
        <w:t xml:space="preserve"> computer-aided diagnosis [2].</w:t>
      </w:r>
    </w:p>
    <w:p w:rsidR="00D068C2" w:rsidRPr="002E1F5C" w:rsidRDefault="00227FF0">
      <w:pPr>
        <w:spacing w:before="330" w:line="271" w:lineRule="auto"/>
        <w:rPr>
          <w:rFonts w:asciiTheme="majorBidi" w:hAnsiTheme="majorBidi" w:cstheme="majorBidi"/>
          <w:sz w:val="28"/>
          <w:szCs w:val="28"/>
        </w:rPr>
      </w:pPr>
      <w:bookmarkStart w:id="2" w:name="bm_2_materials_and_methods"/>
      <w:r w:rsidRPr="002E1F5C">
        <w:rPr>
          <w:rFonts w:asciiTheme="majorBidi" w:hAnsiTheme="majorBidi" w:cstheme="majorBidi"/>
          <w:b/>
          <w:sz w:val="28"/>
          <w:szCs w:val="28"/>
        </w:rPr>
        <w:t>2 Materials and Methods</w:t>
      </w:r>
      <w:bookmarkEnd w:id="2"/>
    </w:p>
    <w:p w:rsidR="00D068C2" w:rsidRPr="002E1F5C" w:rsidRDefault="00227FF0">
      <w:pPr>
        <w:spacing w:after="220"/>
        <w:rPr>
          <w:rFonts w:asciiTheme="majorBidi" w:hAnsiTheme="majorBidi" w:cstheme="majorBidi"/>
        </w:rPr>
      </w:pPr>
      <w:r w:rsidRPr="002E1F5C">
        <w:rPr>
          <w:rFonts w:asciiTheme="majorBidi" w:hAnsiTheme="majorBidi" w:cstheme="majorBidi"/>
        </w:rPr>
        <w:t xml:space="preserve">Describe the methodology, instrumentation, </w:t>
      </w:r>
      <w:proofErr w:type="gramStart"/>
      <w:r w:rsidRPr="002E1F5C">
        <w:rPr>
          <w:rFonts w:asciiTheme="majorBidi" w:hAnsiTheme="majorBidi" w:cstheme="majorBidi"/>
        </w:rPr>
        <w:t>acquisition</w:t>
      </w:r>
      <w:proofErr w:type="gramEnd"/>
      <w:r w:rsidRPr="002E1F5C">
        <w:rPr>
          <w:rFonts w:asciiTheme="majorBidi" w:hAnsiTheme="majorBidi" w:cstheme="majorBidi"/>
        </w:rPr>
        <w:t xml:space="preserve"> protocol and data analysis.</w:t>
      </w:r>
    </w:p>
    <w:p w:rsidR="00D068C2" w:rsidRPr="002E1F5C" w:rsidRDefault="00227FF0">
      <w:pPr>
        <w:spacing w:after="220"/>
        <w:rPr>
          <w:rFonts w:asciiTheme="majorBidi" w:hAnsiTheme="majorBidi" w:cstheme="majorBidi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theme="majorBidi"/>
                </w:rPr>
              </m:ctrlPr>
            </m:eqArrPr>
            <m:e>
              <m:r>
                <w:rPr>
                  <w:rFonts w:ascii="Cambria Math" w:hAnsi="Cambria Math" w:cstheme="majorBidi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theme="majorBidi"/>
                </w:rPr>
                <m:t>(</m:t>
              </m:r>
              <m:r>
                <w:rPr>
                  <w:rFonts w:ascii="Cambria Math" w:hAnsi="Cambria Math" w:cstheme="majorBidi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theme="majorBidi"/>
                </w:rPr>
                <m:t>)=</m:t>
              </m:r>
              <m:r>
                <w:rPr>
                  <w:rFonts w:ascii="Cambria Math" w:hAnsi="Cambria Math" w:cstheme="majorBidi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theme="majorBidi"/>
                </w:rPr>
                <m:t>(</m:t>
              </m:r>
              <m:r>
                <w:rPr>
                  <w:rFonts w:ascii="Cambria Math" w:hAnsi="Cambria Math" w:cstheme="majorBidi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theme="majorBidi"/>
                </w:rPr>
                <m:t>)*</m:t>
              </m:r>
              <m:r>
                <w:rPr>
                  <w:rFonts w:ascii="Cambria Math" w:hAnsi="Cambria Math" w:cstheme="majorBidi"/>
                </w:rPr>
                <m:t>h</m:t>
              </m:r>
              <m:r>
                <m:rPr>
                  <m:sty m:val="p"/>
                </m:rPr>
                <w:rPr>
                  <w:rFonts w:ascii="Cambria Math" w:hAnsi="Cambria Math" w:cstheme="majorBidi"/>
                </w:rPr>
                <m:t>(</m:t>
              </m:r>
              <m:r>
                <w:rPr>
                  <w:rFonts w:ascii="Cambria Math" w:hAnsi="Cambria Math" w:cstheme="majorBidi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theme="majorBidi"/>
                </w:rPr>
                <m:t>)</m:t>
              </m:r>
              <m:r>
                <w:rPr>
                  <w:rFonts w:ascii="Cambria Math" w:hAnsi="Cambria Math" w:cstheme="majorBidi"/>
                </w:rPr>
                <m:t>#(1)</m:t>
              </m:r>
            </m:e>
          </m:eqArr>
        </m:oMath>
      </m:oMathPara>
    </w:p>
    <w:p w:rsidR="00D068C2" w:rsidRPr="002E1F5C" w:rsidRDefault="00227FF0">
      <w:pPr>
        <w:spacing w:after="220"/>
        <w:rPr>
          <w:rFonts w:asciiTheme="majorBidi" w:hAnsiTheme="majorBidi" w:cstheme="majorBidi"/>
        </w:rPr>
      </w:pPr>
      <w:r w:rsidRPr="002E1F5C">
        <w:rPr>
          <w:rFonts w:asciiTheme="majorBidi" w:hAnsiTheme="majorBidi" w:cstheme="majorBidi"/>
        </w:rPr>
        <w:t>Equation (1) represents the convolution between the input signal and the impulse response.</w:t>
      </w:r>
    </w:p>
    <w:p w:rsidR="00D068C2" w:rsidRPr="002E1F5C" w:rsidRDefault="00227FF0">
      <w:pPr>
        <w:shd w:val="clear" w:color="auto" w:fill="F8F8FA"/>
        <w:rPr>
          <w:rFonts w:asciiTheme="majorBidi" w:hAnsiTheme="majorBidi" w:cstheme="majorBidi"/>
        </w:rPr>
      </w:pPr>
      <w:r w:rsidRPr="002E1F5C">
        <w:rPr>
          <w:rStyle w:val="VerbatimChar"/>
          <w:rFonts w:asciiTheme="majorBidi" w:eastAsia="Consolas" w:hAnsiTheme="majorBidi" w:cstheme="majorBidi"/>
        </w:rPr>
        <w:t>Alg</w:t>
      </w:r>
      <w:r w:rsidRPr="002E1F5C">
        <w:rPr>
          <w:rStyle w:val="VerbatimChar"/>
          <w:rFonts w:asciiTheme="majorBidi" w:eastAsia="Consolas" w:hAnsiTheme="majorBidi" w:cstheme="majorBidi"/>
        </w:rPr>
        <w:t>orithm 1 Example processing workflow</w:t>
      </w:r>
      <w:r w:rsidRPr="002E1F5C">
        <w:rPr>
          <w:rStyle w:val="VerbatimChar"/>
          <w:rFonts w:asciiTheme="majorBidi" w:eastAsia="Consolas" w:hAnsiTheme="majorBidi" w:cstheme="majorBidi"/>
        </w:rPr>
        <w:br/>
        <w:t xml:space="preserve">    Acquire biomedical signal</w:t>
      </w:r>
      <w:r w:rsidRPr="002E1F5C">
        <w:rPr>
          <w:rStyle w:val="VerbatimChar"/>
          <w:rFonts w:asciiTheme="majorBidi" w:eastAsia="Consolas" w:hAnsiTheme="majorBidi" w:cstheme="majorBidi"/>
        </w:rPr>
        <w:br/>
        <w:t xml:space="preserve">    Filter noise</w:t>
      </w:r>
      <w:r w:rsidRPr="002E1F5C">
        <w:rPr>
          <w:rStyle w:val="VerbatimChar"/>
          <w:rFonts w:asciiTheme="majorBidi" w:eastAsia="Consolas" w:hAnsiTheme="majorBidi" w:cstheme="majorBidi"/>
        </w:rPr>
        <w:br/>
        <w:t xml:space="preserve">    Normalize data</w:t>
      </w:r>
      <w:r w:rsidRPr="002E1F5C">
        <w:rPr>
          <w:rStyle w:val="VerbatimChar"/>
          <w:rFonts w:asciiTheme="majorBidi" w:eastAsia="Consolas" w:hAnsiTheme="majorBidi" w:cstheme="majorBidi"/>
        </w:rPr>
        <w:br/>
        <w:t xml:space="preserve">    Extract features</w:t>
      </w:r>
      <w:r w:rsidRPr="002E1F5C">
        <w:rPr>
          <w:rStyle w:val="VerbatimChar"/>
          <w:rFonts w:asciiTheme="majorBidi" w:eastAsia="Consolas" w:hAnsiTheme="majorBidi" w:cstheme="majorBidi"/>
        </w:rPr>
        <w:br/>
        <w:t xml:space="preserve">    Train classification model</w:t>
      </w:r>
      <w:r w:rsidRPr="002E1F5C">
        <w:rPr>
          <w:rStyle w:val="VerbatimChar"/>
          <w:rFonts w:asciiTheme="majorBidi" w:eastAsia="Consolas" w:hAnsiTheme="majorBidi" w:cstheme="majorBidi"/>
        </w:rPr>
        <w:br/>
        <w:t xml:space="preserve">    Evaluate performance</w:t>
      </w:r>
      <w:r w:rsidRPr="002E1F5C">
        <w:rPr>
          <w:rStyle w:val="VerbatimChar"/>
          <w:rFonts w:asciiTheme="majorBidi" w:eastAsia="Consolas" w:hAnsiTheme="majorBidi" w:cstheme="majorBidi"/>
        </w:rPr>
        <w:br/>
      </w:r>
    </w:p>
    <w:p w:rsidR="00D068C2" w:rsidRPr="002E1F5C" w:rsidRDefault="00227FF0">
      <w:pPr>
        <w:spacing w:before="330" w:line="271" w:lineRule="auto"/>
        <w:rPr>
          <w:rFonts w:asciiTheme="majorBidi" w:hAnsiTheme="majorBidi" w:cstheme="majorBidi"/>
          <w:sz w:val="28"/>
          <w:szCs w:val="28"/>
        </w:rPr>
      </w:pPr>
      <w:bookmarkStart w:id="3" w:name="bm_3_results"/>
      <w:r w:rsidRPr="002E1F5C">
        <w:rPr>
          <w:rFonts w:asciiTheme="majorBidi" w:hAnsiTheme="majorBidi" w:cstheme="majorBidi"/>
          <w:b/>
          <w:sz w:val="28"/>
          <w:szCs w:val="28"/>
        </w:rPr>
        <w:t>3 Results</w:t>
      </w:r>
      <w:bookmarkEnd w:id="3"/>
    </w:p>
    <w:p w:rsidR="00D068C2" w:rsidRPr="002E1F5C" w:rsidRDefault="00227FF0">
      <w:pPr>
        <w:spacing w:after="220"/>
        <w:rPr>
          <w:rFonts w:asciiTheme="majorBidi" w:hAnsiTheme="majorBidi" w:cstheme="majorBidi"/>
        </w:rPr>
      </w:pPr>
      <w:r w:rsidRPr="002E1F5C">
        <w:rPr>
          <w:rFonts w:asciiTheme="majorBidi" w:hAnsiTheme="majorBidi" w:cstheme="majorBidi"/>
        </w:rPr>
        <w:t>Table 1 summarizes representative results.</w:t>
      </w:r>
      <w:r w:rsidRPr="002E1F5C">
        <w:rPr>
          <w:rFonts w:asciiTheme="majorBidi" w:hAnsiTheme="majorBidi" w:cstheme="majorBidi"/>
        </w:rPr>
        <w:br/>
        <w:t>Figure 1 illustrates a</w:t>
      </w:r>
      <w:r w:rsidRPr="002E1F5C">
        <w:rPr>
          <w:rFonts w:asciiTheme="majorBidi" w:hAnsiTheme="majorBidi" w:cstheme="majorBidi"/>
        </w:rPr>
        <w:t xml:space="preserve"> sample figure.</w:t>
      </w:r>
    </w:p>
    <w:p w:rsidR="002E1F5C" w:rsidRDefault="002E1F5C">
      <w:pPr>
        <w:rPr>
          <w:rFonts w:asciiTheme="majorBidi" w:hAnsiTheme="majorBidi" w:cstheme="majorBidi"/>
        </w:rPr>
      </w:pPr>
    </w:p>
    <w:p w:rsidR="002E1F5C" w:rsidRDefault="002E1F5C">
      <w:pPr>
        <w:rPr>
          <w:rFonts w:asciiTheme="majorBidi" w:hAnsiTheme="majorBidi" w:cstheme="majorBidi"/>
        </w:rPr>
      </w:pPr>
    </w:p>
    <w:p w:rsidR="002E1F5C" w:rsidRDefault="002E1F5C">
      <w:pPr>
        <w:rPr>
          <w:rFonts w:asciiTheme="majorBidi" w:hAnsiTheme="majorBidi" w:cstheme="majorBidi"/>
        </w:rPr>
      </w:pPr>
    </w:p>
    <w:p w:rsidR="002E1F5C" w:rsidRDefault="002E1F5C">
      <w:pPr>
        <w:rPr>
          <w:rFonts w:asciiTheme="majorBidi" w:hAnsiTheme="majorBidi" w:cstheme="majorBidi"/>
        </w:rPr>
      </w:pPr>
    </w:p>
    <w:p w:rsidR="00D068C2" w:rsidRDefault="00227FF0" w:rsidP="002E1F5C">
      <w:pPr>
        <w:jc w:val="center"/>
        <w:rPr>
          <w:rFonts w:asciiTheme="majorBidi" w:hAnsiTheme="majorBidi" w:cstheme="majorBidi"/>
        </w:rPr>
      </w:pPr>
      <w:r w:rsidRPr="002E1F5C">
        <w:rPr>
          <w:rFonts w:asciiTheme="majorBidi" w:hAnsiTheme="majorBidi" w:cstheme="majorBidi"/>
        </w:rPr>
        <w:t>Table 1: Example performance metrics.</w:t>
      </w:r>
    </w:p>
    <w:tbl>
      <w:tblPr>
        <w:tblStyle w:val="NormalGrid"/>
        <w:tblW w:w="0" w:type="auto"/>
        <w:jc w:val="center"/>
        <w:tblCellSpacing w:w="0" w:type="dxa"/>
        <w:tblLook w:val="04A0" w:firstRow="1" w:lastRow="0" w:firstColumn="1" w:lastColumn="0" w:noHBand="0" w:noVBand="1"/>
      </w:tblPr>
      <w:tblGrid>
        <w:gridCol w:w="1219"/>
        <w:gridCol w:w="1548"/>
        <w:gridCol w:w="1647"/>
        <w:gridCol w:w="1658"/>
      </w:tblGrid>
      <w:tr w:rsidR="00D068C2" w:rsidRPr="002E1F5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D068C2" w:rsidRPr="002E1F5C" w:rsidRDefault="00227FF0">
            <w:pPr>
              <w:rPr>
                <w:rFonts w:asciiTheme="majorBidi" w:hAnsiTheme="majorBidi" w:cstheme="majorBidi"/>
              </w:rPr>
            </w:pPr>
            <w:r w:rsidRPr="002E1F5C">
              <w:rPr>
                <w:rFonts w:asciiTheme="majorBidi" w:hAnsiTheme="majorBidi" w:cstheme="majorBidi"/>
              </w:rPr>
              <w:lastRenderedPageBreak/>
              <w:t>Method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D068C2" w:rsidRPr="002E1F5C" w:rsidRDefault="00227FF0">
            <w:pPr>
              <w:jc w:val="center"/>
              <w:rPr>
                <w:rFonts w:asciiTheme="majorBidi" w:hAnsiTheme="majorBidi" w:cstheme="majorBidi"/>
              </w:rPr>
            </w:pPr>
            <w:r w:rsidRPr="002E1F5C">
              <w:rPr>
                <w:rFonts w:asciiTheme="majorBidi" w:hAnsiTheme="majorBidi" w:cstheme="majorBidi"/>
              </w:rPr>
              <w:t>Accuracy (%)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D068C2" w:rsidRPr="002E1F5C" w:rsidRDefault="00227FF0">
            <w:pPr>
              <w:jc w:val="center"/>
              <w:rPr>
                <w:rFonts w:asciiTheme="majorBidi" w:hAnsiTheme="majorBidi" w:cstheme="majorBidi"/>
              </w:rPr>
            </w:pPr>
            <w:r w:rsidRPr="002E1F5C">
              <w:rPr>
                <w:rFonts w:asciiTheme="majorBidi" w:hAnsiTheme="majorBidi" w:cstheme="majorBidi"/>
              </w:rPr>
              <w:t>Sensitivity (%)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D068C2" w:rsidRPr="002E1F5C" w:rsidRDefault="00227FF0">
            <w:pPr>
              <w:jc w:val="center"/>
              <w:rPr>
                <w:rFonts w:asciiTheme="majorBidi" w:hAnsiTheme="majorBidi" w:cstheme="majorBidi"/>
              </w:rPr>
            </w:pPr>
            <w:r w:rsidRPr="002E1F5C">
              <w:rPr>
                <w:rFonts w:asciiTheme="majorBidi" w:hAnsiTheme="majorBidi" w:cstheme="majorBidi"/>
              </w:rPr>
              <w:t>Specificity (%)</w:t>
            </w:r>
          </w:p>
        </w:tc>
      </w:tr>
      <w:tr w:rsidR="00D068C2" w:rsidRPr="002E1F5C">
        <w:trPr>
          <w:cantSplit/>
          <w:tblCellSpacing w:w="0" w:type="dxa"/>
          <w:jc w:val="center"/>
        </w:trPr>
        <w:tc>
          <w:tcPr>
            <w:tcW w:w="0" w:type="auto"/>
            <w:vAlign w:val="center"/>
          </w:tcPr>
          <w:p w:rsidR="00D068C2" w:rsidRPr="002E1F5C" w:rsidRDefault="00227FF0">
            <w:pPr>
              <w:rPr>
                <w:rFonts w:asciiTheme="majorBidi" w:hAnsiTheme="majorBidi" w:cstheme="majorBidi"/>
              </w:rPr>
            </w:pPr>
            <w:r w:rsidRPr="002E1F5C">
              <w:rPr>
                <w:rFonts w:asciiTheme="majorBidi" w:hAnsiTheme="majorBidi" w:cstheme="majorBidi"/>
              </w:rPr>
              <w:t>Method A</w:t>
            </w:r>
          </w:p>
        </w:tc>
        <w:tc>
          <w:tcPr>
            <w:tcW w:w="0" w:type="auto"/>
            <w:vAlign w:val="center"/>
          </w:tcPr>
          <w:p w:rsidR="00D068C2" w:rsidRPr="002E1F5C" w:rsidRDefault="00227FF0">
            <w:pPr>
              <w:jc w:val="center"/>
              <w:rPr>
                <w:rFonts w:asciiTheme="majorBidi" w:hAnsiTheme="majorBidi" w:cstheme="majorBidi"/>
              </w:rPr>
            </w:pPr>
            <w:r w:rsidRPr="002E1F5C">
              <w:rPr>
                <w:rFonts w:asciiTheme="majorBidi" w:hAnsiTheme="majorBidi" w:cstheme="majorBidi"/>
              </w:rPr>
              <w:t>92.4</w:t>
            </w:r>
          </w:p>
        </w:tc>
        <w:tc>
          <w:tcPr>
            <w:tcW w:w="0" w:type="auto"/>
            <w:vAlign w:val="center"/>
          </w:tcPr>
          <w:p w:rsidR="00D068C2" w:rsidRPr="002E1F5C" w:rsidRDefault="00227FF0">
            <w:pPr>
              <w:jc w:val="center"/>
              <w:rPr>
                <w:rFonts w:asciiTheme="majorBidi" w:hAnsiTheme="majorBidi" w:cstheme="majorBidi"/>
              </w:rPr>
            </w:pPr>
            <w:r w:rsidRPr="002E1F5C">
              <w:rPr>
                <w:rFonts w:asciiTheme="majorBidi" w:hAnsiTheme="majorBidi" w:cstheme="majorBidi"/>
              </w:rPr>
              <w:t>91.0</w:t>
            </w:r>
          </w:p>
        </w:tc>
        <w:tc>
          <w:tcPr>
            <w:tcW w:w="0" w:type="auto"/>
            <w:vAlign w:val="center"/>
          </w:tcPr>
          <w:p w:rsidR="00D068C2" w:rsidRPr="002E1F5C" w:rsidRDefault="00227FF0">
            <w:pPr>
              <w:jc w:val="center"/>
              <w:rPr>
                <w:rFonts w:asciiTheme="majorBidi" w:hAnsiTheme="majorBidi" w:cstheme="majorBidi"/>
              </w:rPr>
            </w:pPr>
            <w:r w:rsidRPr="002E1F5C">
              <w:rPr>
                <w:rFonts w:asciiTheme="majorBidi" w:hAnsiTheme="majorBidi" w:cstheme="majorBidi"/>
              </w:rPr>
              <w:t>93.5</w:t>
            </w:r>
          </w:p>
        </w:tc>
      </w:tr>
      <w:tr w:rsidR="00D068C2" w:rsidRPr="002E1F5C">
        <w:trPr>
          <w:cantSplit/>
          <w:tblCellSpacing w:w="0" w:type="dxa"/>
          <w:jc w:val="center"/>
        </w:trPr>
        <w:tc>
          <w:tcPr>
            <w:tcW w:w="0" w:type="auto"/>
            <w:vAlign w:val="center"/>
          </w:tcPr>
          <w:p w:rsidR="00D068C2" w:rsidRPr="002E1F5C" w:rsidRDefault="00227FF0">
            <w:pPr>
              <w:rPr>
                <w:rFonts w:asciiTheme="majorBidi" w:hAnsiTheme="majorBidi" w:cstheme="majorBidi"/>
              </w:rPr>
            </w:pPr>
            <w:r w:rsidRPr="002E1F5C">
              <w:rPr>
                <w:rFonts w:asciiTheme="majorBidi" w:hAnsiTheme="majorBidi" w:cstheme="majorBidi"/>
              </w:rPr>
              <w:t>Method B</w:t>
            </w:r>
          </w:p>
        </w:tc>
        <w:tc>
          <w:tcPr>
            <w:tcW w:w="0" w:type="auto"/>
            <w:vAlign w:val="center"/>
          </w:tcPr>
          <w:p w:rsidR="00D068C2" w:rsidRPr="002E1F5C" w:rsidRDefault="00227FF0">
            <w:pPr>
              <w:jc w:val="center"/>
              <w:rPr>
                <w:rFonts w:asciiTheme="majorBidi" w:hAnsiTheme="majorBidi" w:cstheme="majorBidi"/>
              </w:rPr>
            </w:pPr>
            <w:r w:rsidRPr="002E1F5C">
              <w:rPr>
                <w:rFonts w:asciiTheme="majorBidi" w:hAnsiTheme="majorBidi" w:cstheme="majorBidi"/>
              </w:rPr>
              <w:t>95.6</w:t>
            </w:r>
          </w:p>
        </w:tc>
        <w:tc>
          <w:tcPr>
            <w:tcW w:w="0" w:type="auto"/>
            <w:vAlign w:val="center"/>
          </w:tcPr>
          <w:p w:rsidR="00D068C2" w:rsidRPr="002E1F5C" w:rsidRDefault="00227FF0">
            <w:pPr>
              <w:jc w:val="center"/>
              <w:rPr>
                <w:rFonts w:asciiTheme="majorBidi" w:hAnsiTheme="majorBidi" w:cstheme="majorBidi"/>
              </w:rPr>
            </w:pPr>
            <w:r w:rsidRPr="002E1F5C">
              <w:rPr>
                <w:rFonts w:asciiTheme="majorBidi" w:hAnsiTheme="majorBidi" w:cstheme="majorBidi"/>
              </w:rPr>
              <w:t>95.1</w:t>
            </w:r>
          </w:p>
        </w:tc>
        <w:tc>
          <w:tcPr>
            <w:tcW w:w="0" w:type="auto"/>
            <w:vAlign w:val="center"/>
          </w:tcPr>
          <w:p w:rsidR="00D068C2" w:rsidRPr="002E1F5C" w:rsidRDefault="00227FF0">
            <w:pPr>
              <w:jc w:val="center"/>
              <w:rPr>
                <w:rFonts w:asciiTheme="majorBidi" w:hAnsiTheme="majorBidi" w:cstheme="majorBidi"/>
              </w:rPr>
            </w:pPr>
            <w:r w:rsidRPr="002E1F5C">
              <w:rPr>
                <w:rFonts w:asciiTheme="majorBidi" w:hAnsiTheme="majorBidi" w:cstheme="majorBidi"/>
              </w:rPr>
              <w:t>96.0</w:t>
            </w:r>
          </w:p>
        </w:tc>
      </w:tr>
      <w:tr w:rsidR="00D068C2" w:rsidRPr="002E1F5C">
        <w:trPr>
          <w:cantSplit/>
          <w:tblCellSpacing w:w="0" w:type="dxa"/>
          <w:jc w:val="center"/>
        </w:trPr>
        <w:tc>
          <w:tcPr>
            <w:tcW w:w="0" w:type="auto"/>
            <w:tcBorders>
              <w:bottom w:val="single" w:sz="8" w:space="0" w:color="000000"/>
            </w:tcBorders>
            <w:vAlign w:val="center"/>
          </w:tcPr>
          <w:p w:rsidR="00D068C2" w:rsidRPr="002E1F5C" w:rsidRDefault="00227FF0">
            <w:pPr>
              <w:rPr>
                <w:rFonts w:asciiTheme="majorBidi" w:hAnsiTheme="majorBidi" w:cstheme="majorBidi"/>
              </w:rPr>
            </w:pPr>
            <w:r w:rsidRPr="002E1F5C">
              <w:rPr>
                <w:rFonts w:asciiTheme="majorBidi" w:hAnsiTheme="majorBidi" w:cstheme="majorBidi"/>
              </w:rPr>
              <w:t>Proposed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vAlign w:val="center"/>
          </w:tcPr>
          <w:p w:rsidR="00D068C2" w:rsidRPr="002E1F5C" w:rsidRDefault="00227FF0">
            <w:pPr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98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.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1</m:t>
                </m:r>
              </m:oMath>
            </m:oMathPara>
          </w:p>
        </w:tc>
        <w:tc>
          <w:tcPr>
            <w:tcW w:w="0" w:type="auto"/>
            <w:tcBorders>
              <w:bottom w:val="single" w:sz="8" w:space="0" w:color="000000"/>
            </w:tcBorders>
            <w:vAlign w:val="center"/>
          </w:tcPr>
          <w:p w:rsidR="00D068C2" w:rsidRPr="002E1F5C" w:rsidRDefault="00227FF0">
            <w:pPr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97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.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8</m:t>
                </m:r>
              </m:oMath>
            </m:oMathPara>
          </w:p>
        </w:tc>
        <w:tc>
          <w:tcPr>
            <w:tcW w:w="0" w:type="auto"/>
            <w:tcBorders>
              <w:bottom w:val="single" w:sz="8" w:space="0" w:color="000000"/>
            </w:tcBorders>
            <w:vAlign w:val="center"/>
          </w:tcPr>
          <w:p w:rsidR="00D068C2" w:rsidRPr="002E1F5C" w:rsidRDefault="00227FF0">
            <w:pPr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98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.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5</m:t>
                </m:r>
              </m:oMath>
            </m:oMathPara>
          </w:p>
        </w:tc>
      </w:tr>
    </w:tbl>
    <w:p w:rsidR="00D068C2" w:rsidRPr="002E1F5C" w:rsidRDefault="00D068C2">
      <w:pPr>
        <w:rPr>
          <w:rFonts w:asciiTheme="majorBidi" w:hAnsiTheme="majorBidi" w:cstheme="majorBidi"/>
        </w:rPr>
      </w:pPr>
    </w:p>
    <w:p w:rsidR="00D068C2" w:rsidRPr="002E1F5C" w:rsidRDefault="00227FF0">
      <w:pPr>
        <w:jc w:val="center"/>
        <w:rPr>
          <w:rFonts w:asciiTheme="majorBidi" w:hAnsiTheme="majorBidi" w:cstheme="majorBidi"/>
        </w:rPr>
      </w:pPr>
      <w:r w:rsidRPr="002E1F5C">
        <w:rPr>
          <w:rFonts w:asciiTheme="majorBidi" w:hAnsiTheme="majorBidi" w:cstheme="majorBidi"/>
          <w:noProof/>
        </w:rPr>
        <w:drawing>
          <wp:inline distT="0" distB="0" distL="0" distR="0" wp14:anchorId="75249D4F" wp14:editId="18B3DC02">
            <wp:extent cx="5486400" cy="2585545"/>
            <wp:effectExtent l="0" t="0" r="0" b="0"/>
            <wp:docPr id="1" name="image-fc9ebeb34be1038a264980188432c4537d07030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fc9ebeb34be1038a264980188432c4537d07030a.jpg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8C2" w:rsidRPr="002E1F5C" w:rsidRDefault="00227FF0" w:rsidP="002E1F5C">
      <w:pPr>
        <w:jc w:val="center"/>
        <w:rPr>
          <w:rFonts w:asciiTheme="majorBidi" w:hAnsiTheme="majorBidi" w:cstheme="majorBidi"/>
        </w:rPr>
      </w:pPr>
      <w:r w:rsidRPr="002E1F5C">
        <w:rPr>
          <w:rFonts w:asciiTheme="majorBidi" w:hAnsiTheme="majorBidi" w:cstheme="majorBidi"/>
        </w:rPr>
        <w:t>Figure 1: Example figure placeholder.</w:t>
      </w:r>
    </w:p>
    <w:p w:rsidR="00D068C2" w:rsidRPr="002E1F5C" w:rsidRDefault="00227FF0">
      <w:pPr>
        <w:spacing w:before="330" w:line="271" w:lineRule="auto"/>
        <w:rPr>
          <w:rFonts w:asciiTheme="majorBidi" w:hAnsiTheme="majorBidi" w:cstheme="majorBidi"/>
          <w:sz w:val="28"/>
          <w:szCs w:val="28"/>
        </w:rPr>
      </w:pPr>
      <w:bookmarkStart w:id="4" w:name="bm_4_discussion"/>
      <w:r w:rsidRPr="002E1F5C">
        <w:rPr>
          <w:rFonts w:asciiTheme="majorBidi" w:hAnsiTheme="majorBidi" w:cstheme="majorBidi"/>
          <w:b/>
          <w:sz w:val="28"/>
          <w:szCs w:val="28"/>
        </w:rPr>
        <w:t>4 Discussion</w:t>
      </w:r>
      <w:bookmarkEnd w:id="4"/>
    </w:p>
    <w:p w:rsidR="00D068C2" w:rsidRPr="002E1F5C" w:rsidRDefault="00227FF0" w:rsidP="00227FF0">
      <w:pPr>
        <w:spacing w:line="240" w:lineRule="auto"/>
        <w:jc w:val="both"/>
        <w:rPr>
          <w:rFonts w:asciiTheme="majorBidi" w:hAnsiTheme="majorBidi" w:cstheme="majorBidi"/>
        </w:rPr>
      </w:pPr>
      <w:r w:rsidRPr="002E1F5C">
        <w:rPr>
          <w:rFonts w:asciiTheme="majorBidi" w:hAnsiTheme="majorBidi" w:cstheme="majorBidi"/>
        </w:rPr>
        <w:t>Discuss the significance of the obtained results and compare them with previous studies.</w:t>
      </w:r>
    </w:p>
    <w:p w:rsidR="00D068C2" w:rsidRPr="002E1F5C" w:rsidRDefault="00227FF0">
      <w:pPr>
        <w:spacing w:before="330" w:line="271" w:lineRule="auto"/>
        <w:rPr>
          <w:rFonts w:asciiTheme="majorBidi" w:hAnsiTheme="majorBidi" w:cstheme="majorBidi"/>
          <w:sz w:val="28"/>
          <w:szCs w:val="28"/>
        </w:rPr>
      </w:pPr>
      <w:bookmarkStart w:id="5" w:name="bm_5_conclusion"/>
      <w:r w:rsidRPr="002E1F5C">
        <w:rPr>
          <w:rFonts w:asciiTheme="majorBidi" w:hAnsiTheme="majorBidi" w:cstheme="majorBidi"/>
          <w:b/>
          <w:sz w:val="28"/>
          <w:szCs w:val="28"/>
        </w:rPr>
        <w:t>5 Conclusion</w:t>
      </w:r>
      <w:bookmarkEnd w:id="5"/>
    </w:p>
    <w:p w:rsidR="00D068C2" w:rsidRPr="002E1F5C" w:rsidRDefault="00227FF0" w:rsidP="00227FF0">
      <w:pPr>
        <w:spacing w:line="240" w:lineRule="auto"/>
        <w:jc w:val="both"/>
        <w:rPr>
          <w:rFonts w:asciiTheme="majorBidi" w:hAnsiTheme="majorBidi" w:cstheme="majorBidi"/>
        </w:rPr>
      </w:pPr>
      <w:r w:rsidRPr="002E1F5C">
        <w:rPr>
          <w:rFonts w:asciiTheme="majorBidi" w:hAnsiTheme="majorBidi" w:cstheme="majorBidi"/>
        </w:rPr>
        <w:t>Summarize the main findings and future perspectives.</w:t>
      </w:r>
    </w:p>
    <w:p w:rsidR="00D068C2" w:rsidRPr="002E1F5C" w:rsidRDefault="00227FF0">
      <w:pPr>
        <w:spacing w:before="330" w:line="271" w:lineRule="auto"/>
        <w:rPr>
          <w:rFonts w:asciiTheme="majorBidi" w:hAnsiTheme="majorBidi" w:cstheme="majorBidi"/>
          <w:sz w:val="28"/>
          <w:szCs w:val="28"/>
        </w:rPr>
      </w:pPr>
      <w:bookmarkStart w:id="6" w:name="acknowledgments"/>
      <w:r w:rsidRPr="002E1F5C">
        <w:rPr>
          <w:rFonts w:asciiTheme="majorBidi" w:hAnsiTheme="majorBidi" w:cstheme="majorBidi"/>
          <w:b/>
          <w:sz w:val="28"/>
          <w:szCs w:val="28"/>
        </w:rPr>
        <w:t>Acknowledgments</w:t>
      </w:r>
      <w:bookmarkEnd w:id="6"/>
    </w:p>
    <w:p w:rsidR="00D068C2" w:rsidRPr="002E1F5C" w:rsidRDefault="00227FF0" w:rsidP="00227FF0">
      <w:pPr>
        <w:spacing w:line="240" w:lineRule="auto"/>
        <w:jc w:val="both"/>
        <w:rPr>
          <w:rFonts w:asciiTheme="majorBidi" w:hAnsiTheme="majorBidi" w:cstheme="majorBidi"/>
        </w:rPr>
      </w:pPr>
      <w:r w:rsidRPr="002E1F5C">
        <w:rPr>
          <w:rFonts w:asciiTheme="majorBidi" w:hAnsiTheme="majorBidi" w:cstheme="majorBidi"/>
        </w:rPr>
        <w:t>The authors acknowledge the support of their institutions and collaborators.</w:t>
      </w:r>
    </w:p>
    <w:p w:rsidR="00D068C2" w:rsidRPr="002E1F5C" w:rsidRDefault="00227FF0">
      <w:pPr>
        <w:spacing w:before="330" w:line="271" w:lineRule="auto"/>
        <w:rPr>
          <w:rFonts w:asciiTheme="majorBidi" w:hAnsiTheme="majorBidi" w:cstheme="majorBidi"/>
          <w:sz w:val="28"/>
          <w:szCs w:val="28"/>
        </w:rPr>
      </w:pPr>
      <w:bookmarkStart w:id="7" w:name="funding"/>
      <w:r w:rsidRPr="002E1F5C">
        <w:rPr>
          <w:rFonts w:asciiTheme="majorBidi" w:hAnsiTheme="majorBidi" w:cstheme="majorBidi"/>
          <w:b/>
          <w:sz w:val="28"/>
          <w:szCs w:val="28"/>
        </w:rPr>
        <w:t>Funding</w:t>
      </w:r>
      <w:bookmarkEnd w:id="7"/>
    </w:p>
    <w:p w:rsidR="00D068C2" w:rsidRPr="002E1F5C" w:rsidRDefault="00227FF0" w:rsidP="00227FF0">
      <w:pPr>
        <w:spacing w:line="240" w:lineRule="auto"/>
        <w:jc w:val="both"/>
        <w:rPr>
          <w:rFonts w:asciiTheme="majorBidi" w:hAnsiTheme="majorBidi" w:cstheme="majorBidi"/>
        </w:rPr>
      </w:pPr>
      <w:r w:rsidRPr="002E1F5C">
        <w:rPr>
          <w:rFonts w:asciiTheme="majorBidi" w:hAnsiTheme="majorBidi" w:cstheme="majorBidi"/>
        </w:rPr>
        <w:t>This research received no external funding.</w:t>
      </w:r>
    </w:p>
    <w:p w:rsidR="00D068C2" w:rsidRPr="002E1F5C" w:rsidRDefault="00227FF0">
      <w:pPr>
        <w:spacing w:before="330" w:line="271" w:lineRule="auto"/>
        <w:rPr>
          <w:rFonts w:asciiTheme="majorBidi" w:hAnsiTheme="majorBidi" w:cstheme="majorBidi"/>
          <w:sz w:val="28"/>
          <w:szCs w:val="28"/>
        </w:rPr>
      </w:pPr>
      <w:bookmarkStart w:id="8" w:name="conflict_of_interest"/>
      <w:r w:rsidRPr="002E1F5C">
        <w:rPr>
          <w:rFonts w:asciiTheme="majorBidi" w:hAnsiTheme="majorBidi" w:cstheme="majorBidi"/>
          <w:b/>
          <w:sz w:val="28"/>
          <w:szCs w:val="28"/>
        </w:rPr>
        <w:t>Conflict of Interest</w:t>
      </w:r>
      <w:bookmarkEnd w:id="8"/>
    </w:p>
    <w:p w:rsidR="00D068C2" w:rsidRPr="002E1F5C" w:rsidRDefault="00227FF0" w:rsidP="00227FF0">
      <w:pPr>
        <w:spacing w:line="240" w:lineRule="auto"/>
        <w:jc w:val="both"/>
        <w:rPr>
          <w:rFonts w:asciiTheme="majorBidi" w:hAnsiTheme="majorBidi" w:cstheme="majorBidi"/>
        </w:rPr>
      </w:pPr>
      <w:r w:rsidRPr="002E1F5C">
        <w:rPr>
          <w:rFonts w:asciiTheme="majorBidi" w:hAnsiTheme="majorBidi" w:cstheme="majorBidi"/>
        </w:rPr>
        <w:t>The authors declare that they have no conflict of interest.</w:t>
      </w:r>
    </w:p>
    <w:p w:rsidR="00D068C2" w:rsidRPr="002E1F5C" w:rsidRDefault="00227FF0">
      <w:pPr>
        <w:spacing w:before="330" w:line="271" w:lineRule="auto"/>
        <w:rPr>
          <w:rFonts w:asciiTheme="majorBidi" w:hAnsiTheme="majorBidi" w:cstheme="majorBidi"/>
          <w:sz w:val="28"/>
          <w:szCs w:val="28"/>
        </w:rPr>
      </w:pPr>
      <w:bookmarkStart w:id="9" w:name="ethics_statement"/>
      <w:r w:rsidRPr="002E1F5C">
        <w:rPr>
          <w:rFonts w:asciiTheme="majorBidi" w:hAnsiTheme="majorBidi" w:cstheme="majorBidi"/>
          <w:b/>
          <w:sz w:val="28"/>
          <w:szCs w:val="28"/>
        </w:rPr>
        <w:t>Ethics Statement</w:t>
      </w:r>
      <w:bookmarkEnd w:id="9"/>
    </w:p>
    <w:p w:rsidR="00D068C2" w:rsidRPr="002E1F5C" w:rsidRDefault="00227FF0" w:rsidP="00227FF0">
      <w:pPr>
        <w:spacing w:line="240" w:lineRule="auto"/>
        <w:jc w:val="both"/>
        <w:rPr>
          <w:rFonts w:asciiTheme="majorBidi" w:hAnsiTheme="majorBidi" w:cstheme="majorBidi"/>
        </w:rPr>
      </w:pPr>
      <w:r w:rsidRPr="002E1F5C">
        <w:rPr>
          <w:rFonts w:asciiTheme="majorBidi" w:hAnsiTheme="majorBidi" w:cstheme="majorBidi"/>
        </w:rPr>
        <w:t>If applicable, state the ethics committee approval and informed consent.</w:t>
      </w:r>
    </w:p>
    <w:p w:rsidR="00D068C2" w:rsidRPr="002E1F5C" w:rsidRDefault="00227FF0">
      <w:pPr>
        <w:spacing w:before="330" w:line="271" w:lineRule="auto"/>
        <w:rPr>
          <w:rFonts w:asciiTheme="majorBidi" w:hAnsiTheme="majorBidi" w:cstheme="majorBidi"/>
          <w:sz w:val="28"/>
          <w:szCs w:val="28"/>
        </w:rPr>
      </w:pPr>
      <w:bookmarkStart w:id="10" w:name="data_availability"/>
      <w:r w:rsidRPr="002E1F5C">
        <w:rPr>
          <w:rFonts w:asciiTheme="majorBidi" w:hAnsiTheme="majorBidi" w:cstheme="majorBidi"/>
          <w:b/>
          <w:sz w:val="28"/>
          <w:szCs w:val="28"/>
        </w:rPr>
        <w:lastRenderedPageBreak/>
        <w:t>Data Availa</w:t>
      </w:r>
      <w:bookmarkStart w:id="11" w:name="_GoBack"/>
      <w:bookmarkEnd w:id="11"/>
      <w:r w:rsidRPr="002E1F5C">
        <w:rPr>
          <w:rFonts w:asciiTheme="majorBidi" w:hAnsiTheme="majorBidi" w:cstheme="majorBidi"/>
          <w:b/>
          <w:sz w:val="28"/>
          <w:szCs w:val="28"/>
        </w:rPr>
        <w:t>bility</w:t>
      </w:r>
      <w:bookmarkEnd w:id="10"/>
    </w:p>
    <w:p w:rsidR="00D068C2" w:rsidRPr="002E1F5C" w:rsidRDefault="00227FF0" w:rsidP="00227FF0">
      <w:pPr>
        <w:spacing w:line="240" w:lineRule="auto"/>
        <w:jc w:val="both"/>
        <w:rPr>
          <w:rFonts w:asciiTheme="majorBidi" w:hAnsiTheme="majorBidi" w:cstheme="majorBidi"/>
        </w:rPr>
      </w:pPr>
      <w:r w:rsidRPr="002E1F5C">
        <w:rPr>
          <w:rFonts w:asciiTheme="majorBidi" w:hAnsiTheme="majorBidi" w:cstheme="majorBidi"/>
        </w:rPr>
        <w:t>Data are available from the corresponding author upon reasonable request.</w:t>
      </w:r>
    </w:p>
    <w:p w:rsidR="00D068C2" w:rsidRPr="002E1F5C" w:rsidRDefault="00227FF0">
      <w:pPr>
        <w:spacing w:before="330" w:line="271" w:lineRule="auto"/>
        <w:rPr>
          <w:rFonts w:asciiTheme="majorBidi" w:hAnsiTheme="majorBidi" w:cstheme="majorBidi"/>
          <w:sz w:val="28"/>
          <w:szCs w:val="28"/>
        </w:rPr>
      </w:pPr>
      <w:bookmarkStart w:id="12" w:name="references"/>
      <w:r w:rsidRPr="002E1F5C">
        <w:rPr>
          <w:rFonts w:asciiTheme="majorBidi" w:hAnsiTheme="majorBidi" w:cstheme="majorBidi"/>
          <w:b/>
          <w:sz w:val="28"/>
          <w:szCs w:val="28"/>
        </w:rPr>
        <w:t>References</w:t>
      </w:r>
      <w:bookmarkEnd w:id="12"/>
    </w:p>
    <w:p w:rsidR="002E1F5C" w:rsidRDefault="00227FF0" w:rsidP="002E1F5C">
      <w:pPr>
        <w:spacing w:before="120" w:line="240" w:lineRule="auto"/>
        <w:ind w:left="351" w:hanging="351"/>
        <w:rPr>
          <w:rFonts w:asciiTheme="majorBidi" w:hAnsiTheme="majorBidi" w:cstheme="majorBidi"/>
        </w:rPr>
      </w:pPr>
      <w:r w:rsidRPr="002E1F5C">
        <w:rPr>
          <w:rFonts w:asciiTheme="majorBidi" w:hAnsiTheme="majorBidi" w:cstheme="majorBidi"/>
        </w:rPr>
        <w:t xml:space="preserve">[1] O. </w:t>
      </w:r>
      <w:proofErr w:type="spellStart"/>
      <w:r w:rsidRPr="002E1F5C">
        <w:rPr>
          <w:rFonts w:asciiTheme="majorBidi" w:hAnsiTheme="majorBidi" w:cstheme="majorBidi"/>
        </w:rPr>
        <w:t>Ronneberger</w:t>
      </w:r>
      <w:proofErr w:type="spellEnd"/>
      <w:r w:rsidRPr="002E1F5C">
        <w:rPr>
          <w:rFonts w:asciiTheme="majorBidi" w:hAnsiTheme="majorBidi" w:cstheme="majorBidi"/>
        </w:rPr>
        <w:t xml:space="preserve">, P. Fischer, and T. </w:t>
      </w:r>
      <w:proofErr w:type="spellStart"/>
      <w:r w:rsidRPr="002E1F5C">
        <w:rPr>
          <w:rFonts w:asciiTheme="majorBidi" w:hAnsiTheme="majorBidi" w:cstheme="majorBidi"/>
        </w:rPr>
        <w:t>Brox</w:t>
      </w:r>
      <w:proofErr w:type="spellEnd"/>
      <w:r w:rsidRPr="002E1F5C">
        <w:rPr>
          <w:rFonts w:asciiTheme="majorBidi" w:hAnsiTheme="majorBidi" w:cstheme="majorBidi"/>
        </w:rPr>
        <w:t>, "U-Net: Convolutional Networks for Biomedical Image Segmentation," Proc. MICCAI, pp. 234-241, 2015.</w:t>
      </w:r>
    </w:p>
    <w:p w:rsidR="002E1F5C" w:rsidRDefault="00227FF0" w:rsidP="002E1F5C">
      <w:pPr>
        <w:spacing w:before="120" w:line="240" w:lineRule="auto"/>
        <w:ind w:left="351" w:hanging="351"/>
        <w:rPr>
          <w:rFonts w:asciiTheme="majorBidi" w:hAnsiTheme="majorBidi" w:cstheme="majorBidi"/>
        </w:rPr>
      </w:pPr>
      <w:r w:rsidRPr="002E1F5C">
        <w:rPr>
          <w:rFonts w:asciiTheme="majorBidi" w:hAnsiTheme="majorBidi" w:cstheme="majorBidi"/>
        </w:rPr>
        <w:t xml:space="preserve">[2] A. Y. </w:t>
      </w:r>
      <w:proofErr w:type="spellStart"/>
      <w:r w:rsidRPr="002E1F5C">
        <w:rPr>
          <w:rFonts w:asciiTheme="majorBidi" w:hAnsiTheme="majorBidi" w:cstheme="majorBidi"/>
        </w:rPr>
        <w:t>Hannun</w:t>
      </w:r>
      <w:proofErr w:type="spellEnd"/>
      <w:r w:rsidRPr="002E1F5C">
        <w:rPr>
          <w:rFonts w:asciiTheme="majorBidi" w:hAnsiTheme="majorBidi" w:cstheme="majorBidi"/>
        </w:rPr>
        <w:t xml:space="preserve"> et al., "</w:t>
      </w:r>
      <w:r w:rsidRPr="002E1F5C">
        <w:rPr>
          <w:rFonts w:asciiTheme="majorBidi" w:hAnsiTheme="majorBidi" w:cstheme="majorBidi"/>
        </w:rPr>
        <w:t>Cardiologist-Level Arrhythmia Detection with Deep Neural Networks," Nature Medicine, vol. 25, no. 1, pp. 65-69, 2019.</w:t>
      </w:r>
    </w:p>
    <w:p w:rsidR="00D068C2" w:rsidRPr="002E1F5C" w:rsidRDefault="00227FF0" w:rsidP="002E1F5C">
      <w:pPr>
        <w:spacing w:before="120" w:line="240" w:lineRule="auto"/>
        <w:ind w:left="351" w:hanging="351"/>
        <w:rPr>
          <w:rFonts w:asciiTheme="majorBidi" w:hAnsiTheme="majorBidi" w:cstheme="majorBidi"/>
        </w:rPr>
      </w:pPr>
      <w:r w:rsidRPr="002E1F5C">
        <w:rPr>
          <w:rFonts w:asciiTheme="majorBidi" w:hAnsiTheme="majorBidi" w:cstheme="majorBidi"/>
        </w:rPr>
        <w:t xml:space="preserve">[3] S. </w:t>
      </w:r>
      <w:proofErr w:type="spellStart"/>
      <w:r w:rsidRPr="002E1F5C">
        <w:rPr>
          <w:rFonts w:asciiTheme="majorBidi" w:hAnsiTheme="majorBidi" w:cstheme="majorBidi"/>
        </w:rPr>
        <w:t>Haykin</w:t>
      </w:r>
      <w:proofErr w:type="spellEnd"/>
      <w:r w:rsidRPr="002E1F5C">
        <w:rPr>
          <w:rFonts w:asciiTheme="majorBidi" w:hAnsiTheme="majorBidi" w:cstheme="majorBidi"/>
        </w:rPr>
        <w:t>, Neural Networks and Learning Machines, 3rd ed., Prentice Hall, 2009.</w:t>
      </w:r>
    </w:p>
    <w:sectPr w:rsidR="00D068C2" w:rsidRPr="002E1F5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8C2"/>
    <w:rsid w:val="00227FF0"/>
    <w:rsid w:val="002E1F5C"/>
    <w:rsid w:val="00930A38"/>
    <w:rsid w:val="00D0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A3F22F-421F-4734-B7B3-1ABC4AA6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table" w:customStyle="1" w:styleId="NormalGrid">
    <w:name w:val="Normal Grid"/>
    <w:basedOn w:val="TableNormal"/>
    <w:uiPriority w:val="39"/>
    <w:pPr>
      <w:spacing w:after="0" w:line="240" w:lineRule="auto"/>
    </w:pPr>
    <w:tblPr>
      <w:tblInd w:w="0" w:type="dxa"/>
      <w:tblCellMar>
        <w:top w:w="80" w:type="dxa"/>
        <w:left w:w="160" w:type="dxa"/>
        <w:bottom w:w="80" w:type="dxa"/>
        <w:right w:w="16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Microsoft account</cp:lastModifiedBy>
  <cp:revision>4</cp:revision>
  <dcterms:created xsi:type="dcterms:W3CDTF">2026-06-30T14:01:00Z</dcterms:created>
  <dcterms:modified xsi:type="dcterms:W3CDTF">2026-06-30T14:09:00Z</dcterms:modified>
</cp:coreProperties>
</file>